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29.12.2023 N 2392</w:t>
              <w:br/>
              <w:t xml:space="preserve">"Об утверждении методики расчета базовой ставки экологического сбора и применения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2023 г. N 2392</w:t>
      </w:r>
    </w:p>
    <w:p>
      <w:pPr>
        <w:pStyle w:val="2"/>
        <w:jc w:val="center"/>
      </w:pPr>
      <w:r>
        <w:rPr>
          <w:sz w:val="20"/>
        </w:rPr>
      </w:r>
    </w:p>
    <w:p>
      <w:pPr>
        <w:pStyle w:val="2"/>
        <w:jc w:val="center"/>
      </w:pPr>
      <w:r>
        <w:rPr>
          <w:sz w:val="20"/>
        </w:rPr>
        <w:t xml:space="preserve">ОБ УТВЕРЖДЕНИИ МЕТОДИКИ</w:t>
      </w:r>
    </w:p>
    <w:p>
      <w:pPr>
        <w:pStyle w:val="2"/>
        <w:jc w:val="center"/>
      </w:pPr>
      <w:r>
        <w:rPr>
          <w:sz w:val="20"/>
        </w:rPr>
        <w:t xml:space="preserve">РАСЧЕТА БАЗОВОЙ СТАВКИ ЭКОЛОГИЧЕСКОГО СБОРА И ПРИМЕНЕНИЯ</w:t>
      </w:r>
    </w:p>
    <w:p>
      <w:pPr>
        <w:pStyle w:val="2"/>
        <w:jc w:val="center"/>
      </w:pPr>
      <w:r>
        <w:rPr>
          <w:sz w:val="20"/>
        </w:rPr>
        <w:t xml:space="preserve">КОЭФФИЦИЕНТА, УЧИТЫВАЮЩЕГО СЛОЖНОСТЬ ИЗВЛЕЧЕНИЯ ОТХОДОВ</w:t>
      </w:r>
    </w:p>
    <w:p>
      <w:pPr>
        <w:pStyle w:val="2"/>
        <w:jc w:val="center"/>
      </w:pPr>
      <w:r>
        <w:rPr>
          <w:sz w:val="20"/>
        </w:rPr>
        <w:t xml:space="preserve">ОТ ИСПОЛЬЗОВАНИЯ ТОВАРОВ ДЛЯ ДАЛЬНЕЙШЕЙ УТИЛИЗАЦИИ, НАЛИЧИЕ</w:t>
      </w:r>
    </w:p>
    <w:p>
      <w:pPr>
        <w:pStyle w:val="2"/>
        <w:jc w:val="center"/>
      </w:pPr>
      <w:r>
        <w:rPr>
          <w:sz w:val="20"/>
        </w:rPr>
        <w:t xml:space="preserve">ТЕХНОЛОГИЧЕСКОЙ ВОЗМОЖНОСТИ ИХ УТИЛИЗАЦИИ С УЧЕТОМ ИЗМЕНЕНИЯ</w:t>
      </w:r>
    </w:p>
    <w:p>
      <w:pPr>
        <w:pStyle w:val="2"/>
        <w:jc w:val="center"/>
      </w:pPr>
      <w:r>
        <w:rPr>
          <w:sz w:val="20"/>
        </w:rPr>
        <w:t xml:space="preserve">ФИЗИЧЕСКИХ, ХИМИЧЕСКИХ И МЕХАНИЧЕСКИХ СВОЙСТВ МАТЕРИАЛОВ</w:t>
      </w:r>
    </w:p>
    <w:p>
      <w:pPr>
        <w:pStyle w:val="2"/>
        <w:jc w:val="center"/>
      </w:pPr>
      <w:r>
        <w:rPr>
          <w:sz w:val="20"/>
        </w:rPr>
        <w:t xml:space="preserve">ПРИ МНОГОКРАТНОМ ИСПОЛЬЗОВАНИИ (С УЧЕТОМ ВОЗМОЖНЫХ ЦИКЛОВ</w:t>
      </w:r>
    </w:p>
    <w:p>
      <w:pPr>
        <w:pStyle w:val="2"/>
        <w:jc w:val="center"/>
      </w:pPr>
      <w:r>
        <w:rPr>
          <w:sz w:val="20"/>
        </w:rPr>
        <w:t xml:space="preserve">ПЕРЕРАБОТКИ ОТХОДОВ ОТ ИСПОЛЬЗОВАНИЯ ТОВАРОВ),</w:t>
      </w:r>
    </w:p>
    <w:p>
      <w:pPr>
        <w:pStyle w:val="2"/>
        <w:jc w:val="center"/>
      </w:pPr>
      <w:r>
        <w:rPr>
          <w:sz w:val="20"/>
        </w:rPr>
        <w:t xml:space="preserve">ВОСТРЕБОВАННОСТЬ ВТОРИЧНОГО СЫРЬЯ, ПОЛУЧЕННОГО</w:t>
      </w:r>
    </w:p>
    <w:p>
      <w:pPr>
        <w:pStyle w:val="2"/>
        <w:jc w:val="center"/>
      </w:pPr>
      <w:r>
        <w:rPr>
          <w:sz w:val="20"/>
        </w:rPr>
        <w:t xml:space="preserve">ИЗ ТАКИХ ОТХОДОВ, ДЛЯ ИСПОЛЬЗОВАНИЯ</w:t>
      </w:r>
    </w:p>
    <w:p>
      <w:pPr>
        <w:pStyle w:val="2"/>
        <w:jc w:val="center"/>
      </w:pPr>
      <w:r>
        <w:rPr>
          <w:sz w:val="20"/>
        </w:rPr>
        <w:t xml:space="preserve">ПРИ ПРОИЗВОДСТВЕ ТОВАРОВ (ПРОДУКЦИИ)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24.5</w:t>
        </w:r>
      </w:hyperlink>
      <w:r>
        <w:rPr>
          <w:sz w:val="20"/>
        </w:rPr>
        <w:t xml:space="preserve"> Федерального закона "Об отходах производства и потребления"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6" w:tooltip="МЕТОДИКА">
        <w:r>
          <w:rPr>
            <w:sz w:val="20"/>
            <w:color w:val="0000ff"/>
          </w:rPr>
          <w:t xml:space="preserve">методику</w:t>
        </w:r>
      </w:hyperlink>
      <w:r>
        <w:rPr>
          <w:sz w:val="20"/>
        </w:rPr>
        <w:t xml:space="preserve"> расчета базовой ставки экологического сбора и применения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w:t>
      </w:r>
    </w:p>
    <w:p>
      <w:pPr>
        <w:pStyle w:val="0"/>
        <w:spacing w:before="200" w:line-rule="auto"/>
        <w:ind w:firstLine="540"/>
        <w:jc w:val="both"/>
      </w:pPr>
      <w:r>
        <w:rPr>
          <w:sz w:val="20"/>
        </w:rPr>
        <w:t xml:space="preserve">2. Министерству природных ресурсов и экологии Российской Федерации представлять в Правительство Российской Федерации ежегодно, начиная с 2024 года, не позднее 1 сентября, предложения о значениях критериев для применения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w:t>
      </w:r>
    </w:p>
    <w:p>
      <w:pPr>
        <w:pStyle w:val="0"/>
        <w:spacing w:before="200" w:line-rule="auto"/>
        <w:ind w:firstLine="540"/>
        <w:jc w:val="both"/>
      </w:pPr>
      <w:r>
        <w:rPr>
          <w:sz w:val="20"/>
        </w:rPr>
        <w:t xml:space="preserve">3. Настоящее постановление вступает в силу с 1 января 2024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2023 г. N 2392</w:t>
      </w:r>
    </w:p>
    <w:p>
      <w:pPr>
        <w:pStyle w:val="0"/>
        <w:jc w:val="both"/>
      </w:pPr>
      <w:r>
        <w:rPr>
          <w:sz w:val="20"/>
        </w:rPr>
      </w:r>
    </w:p>
    <w:bookmarkStart w:id="36" w:name="P36"/>
    <w:bookmarkEnd w:id="36"/>
    <w:p>
      <w:pPr>
        <w:pStyle w:val="2"/>
        <w:jc w:val="center"/>
      </w:pPr>
      <w:r>
        <w:rPr>
          <w:sz w:val="20"/>
        </w:rPr>
        <w:t xml:space="preserve">МЕТОДИКА</w:t>
      </w:r>
    </w:p>
    <w:p>
      <w:pPr>
        <w:pStyle w:val="2"/>
        <w:jc w:val="center"/>
      </w:pPr>
      <w:r>
        <w:rPr>
          <w:sz w:val="20"/>
        </w:rPr>
        <w:t xml:space="preserve">РАСЧЕТА БАЗОВОЙ СТАВКИ ЭКОЛОГИЧЕСКОГО СБОРА И ПРИМЕНЕНИЯ</w:t>
      </w:r>
    </w:p>
    <w:p>
      <w:pPr>
        <w:pStyle w:val="2"/>
        <w:jc w:val="center"/>
      </w:pPr>
      <w:r>
        <w:rPr>
          <w:sz w:val="20"/>
        </w:rPr>
        <w:t xml:space="preserve">КОЭФФИЦИЕНТА, УЧИТЫВАЮЩЕГО СЛОЖНОСТЬ ИЗВЛЕЧЕНИЯ ОТХОДОВ</w:t>
      </w:r>
    </w:p>
    <w:p>
      <w:pPr>
        <w:pStyle w:val="2"/>
        <w:jc w:val="center"/>
      </w:pPr>
      <w:r>
        <w:rPr>
          <w:sz w:val="20"/>
        </w:rPr>
        <w:t xml:space="preserve">ОТ ИСПОЛЬЗОВАНИЯ ТОВАРОВ ДЛЯ ДАЛЬНЕЙШЕЙ УТИЛИЗАЦИИ, НАЛИЧИЕ</w:t>
      </w:r>
    </w:p>
    <w:p>
      <w:pPr>
        <w:pStyle w:val="2"/>
        <w:jc w:val="center"/>
      </w:pPr>
      <w:r>
        <w:rPr>
          <w:sz w:val="20"/>
        </w:rPr>
        <w:t xml:space="preserve">ТЕХНОЛОГИЧЕСКОЙ ВОЗМОЖНОСТИ ИХ УТИЛИЗАЦИИ С УЧЕТОМ ИЗМЕНЕНИЯ</w:t>
      </w:r>
    </w:p>
    <w:p>
      <w:pPr>
        <w:pStyle w:val="2"/>
        <w:jc w:val="center"/>
      </w:pPr>
      <w:r>
        <w:rPr>
          <w:sz w:val="20"/>
        </w:rPr>
        <w:t xml:space="preserve">ФИЗИЧЕСКИХ, ХИМИЧЕСКИХ И МЕХАНИЧЕСКИХ СВОЙСТВ МАТЕРИАЛОВ</w:t>
      </w:r>
    </w:p>
    <w:p>
      <w:pPr>
        <w:pStyle w:val="2"/>
        <w:jc w:val="center"/>
      </w:pPr>
      <w:r>
        <w:rPr>
          <w:sz w:val="20"/>
        </w:rPr>
        <w:t xml:space="preserve">ПРИ МНОГОКРАТНОМ ИСПОЛЬЗОВАНИИ (С УЧЕТОМ ВОЗМОЖНЫХ ЦИКЛОВ</w:t>
      </w:r>
    </w:p>
    <w:p>
      <w:pPr>
        <w:pStyle w:val="2"/>
        <w:jc w:val="center"/>
      </w:pPr>
      <w:r>
        <w:rPr>
          <w:sz w:val="20"/>
        </w:rPr>
        <w:t xml:space="preserve">ПЕРЕРАБОТКИ ОТХОДОВ ОТ ИСПОЛЬЗОВАНИЯ ТОВАРОВ),</w:t>
      </w:r>
    </w:p>
    <w:p>
      <w:pPr>
        <w:pStyle w:val="2"/>
        <w:jc w:val="center"/>
      </w:pPr>
      <w:r>
        <w:rPr>
          <w:sz w:val="20"/>
        </w:rPr>
        <w:t xml:space="preserve">ВОСТРЕБОВАННОСТЬ ВТОРИЧНОГО СЫРЬЯ, ПОЛУЧЕННОГО</w:t>
      </w:r>
    </w:p>
    <w:p>
      <w:pPr>
        <w:pStyle w:val="2"/>
        <w:jc w:val="center"/>
      </w:pPr>
      <w:r>
        <w:rPr>
          <w:sz w:val="20"/>
        </w:rPr>
        <w:t xml:space="preserve">ИЗ ТАКИХ ОТХОДОВ, ДЛЯ ИСПОЛЬЗОВАНИЯ</w:t>
      </w:r>
    </w:p>
    <w:p>
      <w:pPr>
        <w:pStyle w:val="2"/>
        <w:jc w:val="center"/>
      </w:pPr>
      <w:r>
        <w:rPr>
          <w:sz w:val="20"/>
        </w:rPr>
        <w:t xml:space="preserve">ПРИ ПРОИЗВОДСТВЕ ТОВАРОВ (ПРОДУКЦИИ)</w:t>
      </w:r>
    </w:p>
    <w:p>
      <w:pPr>
        <w:pStyle w:val="0"/>
        <w:jc w:val="both"/>
      </w:pPr>
      <w:r>
        <w:rPr>
          <w:sz w:val="20"/>
        </w:rPr>
      </w:r>
    </w:p>
    <w:p>
      <w:pPr>
        <w:pStyle w:val="0"/>
        <w:ind w:firstLine="540"/>
        <w:jc w:val="both"/>
      </w:pPr>
      <w:r>
        <w:rPr>
          <w:sz w:val="20"/>
        </w:rPr>
        <w:t xml:space="preserve">1. Настоящая методика устанавливает формулы расчета базовой ставки экологического сбора и применения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 (далее - отходы от использования товаров, коэффициент).</w:t>
      </w:r>
    </w:p>
    <w:p>
      <w:pPr>
        <w:pStyle w:val="0"/>
        <w:spacing w:before="200" w:line-rule="auto"/>
        <w:ind w:firstLine="540"/>
        <w:jc w:val="both"/>
      </w:pPr>
      <w:r>
        <w:rPr>
          <w:sz w:val="20"/>
        </w:rPr>
        <w:t xml:space="preserve">2. Базовые ставки экологического сбора рассчитываются по каждой группе товаров и (или) упаковки, включенных в перечень товаров, упаковки, отходы от использования которых подлежат утилизации, утверждаемый Правительством Российской Федерации в соответствии с </w:t>
      </w:r>
      <w:hyperlink w:history="0" r:id="rId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3. Базовая ставка экологического сбора (БСЭС) по группе товаров, упаковки на 1 тонну выпущенного товара, упаковки определяется на основе средних сумм затрат на раздельный сбор, накопление, транспортирование, обработку и утилизацию единицы массы изделия, утратившего свои потребительские свойства, а также удельных величин затрат на создание инфраструктуры, необходимой для осуществления указанных видов деятельности, по формуле:</w:t>
      </w:r>
    </w:p>
    <w:p>
      <w:pPr>
        <w:pStyle w:val="0"/>
        <w:jc w:val="both"/>
      </w:pPr>
      <w:r>
        <w:rPr>
          <w:sz w:val="20"/>
        </w:rPr>
      </w:r>
    </w:p>
    <w:p>
      <w:pPr>
        <w:pStyle w:val="0"/>
        <w:jc w:val="center"/>
      </w:pPr>
      <w:r>
        <w:rPr>
          <w:sz w:val="20"/>
        </w:rPr>
        <w:t xml:space="preserve">БСЭС = З</w:t>
      </w:r>
      <w:r>
        <w:rPr>
          <w:sz w:val="20"/>
          <w:vertAlign w:val="subscript"/>
        </w:rPr>
        <w:t xml:space="preserve">с/нак.(уд)</w:t>
      </w:r>
      <w:r>
        <w:rPr>
          <w:sz w:val="20"/>
        </w:rPr>
        <w:t xml:space="preserve"> + З</w:t>
      </w:r>
      <w:r>
        <w:rPr>
          <w:sz w:val="20"/>
          <w:vertAlign w:val="subscript"/>
        </w:rPr>
        <w:t xml:space="preserve">транспорт.(уд)</w:t>
      </w:r>
      <w:r>
        <w:rPr>
          <w:sz w:val="20"/>
        </w:rPr>
        <w:t xml:space="preserve"> + З</w:t>
      </w:r>
      <w:r>
        <w:rPr>
          <w:sz w:val="20"/>
          <w:vertAlign w:val="subscript"/>
        </w:rPr>
        <w:t xml:space="preserve">обраб.(уд)</w:t>
      </w:r>
      <w:r>
        <w:rPr>
          <w:sz w:val="20"/>
        </w:rPr>
        <w:t xml:space="preserve"> +</w:t>
      </w:r>
    </w:p>
    <w:p>
      <w:pPr>
        <w:pStyle w:val="0"/>
        <w:jc w:val="center"/>
      </w:pPr>
      <w:r>
        <w:rPr>
          <w:sz w:val="20"/>
        </w:rPr>
        <w:t xml:space="preserve">+ З</w:t>
      </w:r>
      <w:r>
        <w:rPr>
          <w:sz w:val="20"/>
          <w:vertAlign w:val="subscript"/>
        </w:rPr>
        <w:t xml:space="preserve">утил.(уд)</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с/нак.(уд)</w:t>
      </w:r>
      <w:r>
        <w:rPr>
          <w:sz w:val="20"/>
        </w:rPr>
        <w:t xml:space="preserve"> - удельные ежегодные затраты на раздельный сбор и накопление отходов от использования товаров (рублей за тонну);</w:t>
      </w:r>
    </w:p>
    <w:p>
      <w:pPr>
        <w:pStyle w:val="0"/>
        <w:spacing w:before="200" w:line-rule="auto"/>
        <w:ind w:firstLine="540"/>
        <w:jc w:val="both"/>
      </w:pPr>
      <w:r>
        <w:rPr>
          <w:sz w:val="20"/>
        </w:rPr>
        <w:t xml:space="preserve">З</w:t>
      </w:r>
      <w:r>
        <w:rPr>
          <w:sz w:val="20"/>
          <w:vertAlign w:val="subscript"/>
        </w:rPr>
        <w:t xml:space="preserve">транспорт.(уд)</w:t>
      </w:r>
      <w:r>
        <w:rPr>
          <w:sz w:val="20"/>
        </w:rPr>
        <w:t xml:space="preserve"> - удельные ежегодные затраты на транспортирование отходов от использования товаров (рублей за тонну);</w:t>
      </w:r>
    </w:p>
    <w:p>
      <w:pPr>
        <w:pStyle w:val="0"/>
        <w:spacing w:before="200" w:line-rule="auto"/>
        <w:ind w:firstLine="540"/>
        <w:jc w:val="both"/>
      </w:pPr>
      <w:r>
        <w:rPr>
          <w:sz w:val="20"/>
        </w:rPr>
        <w:t xml:space="preserve">З</w:t>
      </w:r>
      <w:r>
        <w:rPr>
          <w:sz w:val="20"/>
          <w:vertAlign w:val="subscript"/>
        </w:rPr>
        <w:t xml:space="preserve">обраб.(уд)</w:t>
      </w:r>
      <w:r>
        <w:rPr>
          <w:sz w:val="20"/>
        </w:rPr>
        <w:t xml:space="preserve"> - удельные ежегодные затраты на обработку отходов от использования товаров (рублей за тонну);</w:t>
      </w:r>
    </w:p>
    <w:p>
      <w:pPr>
        <w:pStyle w:val="0"/>
        <w:spacing w:before="200" w:line-rule="auto"/>
        <w:ind w:firstLine="540"/>
        <w:jc w:val="both"/>
      </w:pPr>
      <w:r>
        <w:rPr>
          <w:sz w:val="20"/>
        </w:rPr>
        <w:t xml:space="preserve">З</w:t>
      </w:r>
      <w:r>
        <w:rPr>
          <w:sz w:val="20"/>
          <w:vertAlign w:val="subscript"/>
        </w:rPr>
        <w:t xml:space="preserve">утил.(уд)</w:t>
      </w:r>
      <w:r>
        <w:rPr>
          <w:sz w:val="20"/>
        </w:rPr>
        <w:t xml:space="preserve"> - удельные ежегодные затраты на утилизацию отходов от использования товаров (рублей за тонну).</w:t>
      </w:r>
    </w:p>
    <w:p>
      <w:pPr>
        <w:pStyle w:val="0"/>
        <w:spacing w:before="200" w:line-rule="auto"/>
        <w:ind w:firstLine="540"/>
        <w:jc w:val="both"/>
      </w:pPr>
      <w:r>
        <w:rPr>
          <w:sz w:val="20"/>
        </w:rPr>
        <w:t xml:space="preserve">4. Затраты по показателю З</w:t>
      </w:r>
      <w:r>
        <w:rPr>
          <w:sz w:val="20"/>
          <w:vertAlign w:val="subscript"/>
        </w:rPr>
        <w:t xml:space="preserve">с/нак.(уд)</w:t>
      </w:r>
      <w:r>
        <w:rPr>
          <w:sz w:val="20"/>
        </w:rPr>
        <w:t xml:space="preserve"> определяются по формуле:</w:t>
      </w:r>
    </w:p>
    <w:p>
      <w:pPr>
        <w:pStyle w:val="0"/>
        <w:jc w:val="both"/>
      </w:pPr>
      <w:r>
        <w:rPr>
          <w:sz w:val="20"/>
        </w:rPr>
      </w:r>
    </w:p>
    <w:p>
      <w:pPr>
        <w:pStyle w:val="0"/>
        <w:jc w:val="center"/>
      </w:pPr>
      <w:r>
        <w:rPr>
          <w:position w:val="-23"/>
        </w:rPr>
        <w:drawing>
          <wp:inline distT="0" distB="0" distL="0" distR="0">
            <wp:extent cx="2019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к</w:t>
      </w:r>
      <w:r>
        <w:rPr>
          <w:sz w:val="20"/>
        </w:rPr>
        <w:t xml:space="preserve"> - удельные затраты на приобретение (стоимость) одного контейнера для накопления отходов от использования товаров (рублей). Указанные затраты определяются путем сопоставления рыночных цен (анализа рынка) на основании информации об идентичном товаре или при его отсутствии - на основании информации об однородном товаре и не включают затраты на приобретение контейнеров для раздельного накопления твердых коммунальных отходов;</w:t>
      </w:r>
    </w:p>
    <w:p>
      <w:pPr>
        <w:pStyle w:val="0"/>
        <w:spacing w:before="200" w:line-rule="auto"/>
        <w:ind w:firstLine="540"/>
        <w:jc w:val="both"/>
      </w:pPr>
      <w:r>
        <w:rPr>
          <w:sz w:val="20"/>
        </w:rPr>
        <w:t xml:space="preserve">ТС</w:t>
      </w:r>
      <w:r>
        <w:rPr>
          <w:sz w:val="20"/>
          <w:vertAlign w:val="subscript"/>
        </w:rPr>
        <w:t xml:space="preserve">к</w:t>
      </w:r>
      <w:r>
        <w:rPr>
          <w:sz w:val="20"/>
        </w:rPr>
        <w:t xml:space="preserve"> = 0,02 - удельные годовые затраты на техническое содержание контейнеров для накопления отходов от использования товаров. Указанные затраты принимаются в размере 2 процентов стоимости контейнера и не включают затраты на техническое содержание контейнеров для раздельного накопления твердых коммунальных отходов;</w:t>
      </w:r>
    </w:p>
    <w:p>
      <w:pPr>
        <w:pStyle w:val="0"/>
        <w:spacing w:before="200" w:line-rule="auto"/>
        <w:ind w:firstLine="540"/>
        <w:jc w:val="both"/>
      </w:pPr>
      <w:r>
        <w:rPr>
          <w:sz w:val="20"/>
        </w:rPr>
        <w:t xml:space="preserve">Т</w:t>
      </w:r>
      <w:r>
        <w:rPr>
          <w:sz w:val="20"/>
          <w:vertAlign w:val="subscript"/>
        </w:rPr>
        <w:t xml:space="preserve">экспл.</w:t>
      </w:r>
      <w:r>
        <w:rPr>
          <w:sz w:val="20"/>
        </w:rPr>
        <w:t xml:space="preserve"> - общий проектный срок эксплуатации контейнера для накопления отходов от использования товаров (лет). Указанный срок определяется исходя из технической документации, определяющей эксплуатационные характеристики контейнера;</w:t>
      </w:r>
    </w:p>
    <w:p>
      <w:pPr>
        <w:pStyle w:val="0"/>
        <w:spacing w:before="200" w:line-rule="auto"/>
        <w:ind w:firstLine="540"/>
        <w:jc w:val="both"/>
      </w:pPr>
      <w:r>
        <w:rPr>
          <w:sz w:val="20"/>
        </w:rPr>
        <w:t xml:space="preserve">К</w:t>
      </w:r>
      <w:r>
        <w:rPr>
          <w:sz w:val="20"/>
          <w:vertAlign w:val="subscript"/>
        </w:rPr>
        <w:t xml:space="preserve">вывоз</w:t>
      </w:r>
      <w:r>
        <w:rPr>
          <w:sz w:val="20"/>
        </w:rPr>
        <w:t xml:space="preserve"> - количество вывозов отходов от использования товаров с мест (площадок) накопления в год (единиц). Периодичность вывоза отходов от использования товаров - не реже одного раза в 7 дней;</w:t>
      </w:r>
    </w:p>
    <w:p>
      <w:pPr>
        <w:pStyle w:val="0"/>
        <w:spacing w:before="200" w:line-rule="auto"/>
        <w:ind w:firstLine="540"/>
        <w:jc w:val="both"/>
      </w:pPr>
      <w:r>
        <w:rPr>
          <w:sz w:val="20"/>
        </w:rPr>
        <w:t xml:space="preserve">М</w:t>
      </w:r>
      <w:r>
        <w:rPr>
          <w:sz w:val="20"/>
          <w:vertAlign w:val="subscript"/>
        </w:rPr>
        <w:t xml:space="preserve">нак.</w:t>
      </w:r>
      <w:r>
        <w:rPr>
          <w:sz w:val="20"/>
        </w:rPr>
        <w:t xml:space="preserve"> - средняя вместимость одного контейнера для накопления отходов от использования товаров (тонн). Указанная вместимость определяется на основании данных о плотности отдельных видов отходов от использования товаров и путем проведения замеров массы отходов от использования товаров на объектах обработки отходов от использования товаров и сопоставления результатов, полученных не менее чем на 3 объектах обработки отходов от использования товаров, а также данных общедоступных источников информации.</w:t>
      </w:r>
    </w:p>
    <w:p>
      <w:pPr>
        <w:pStyle w:val="0"/>
        <w:spacing w:before="200" w:line-rule="auto"/>
        <w:ind w:firstLine="540"/>
        <w:jc w:val="both"/>
      </w:pPr>
      <w:r>
        <w:rPr>
          <w:sz w:val="20"/>
        </w:rPr>
        <w:t xml:space="preserve">5. Затраты по показателю З</w:t>
      </w:r>
      <w:r>
        <w:rPr>
          <w:sz w:val="20"/>
          <w:vertAlign w:val="subscript"/>
        </w:rPr>
        <w:t xml:space="preserve">транспорт.(уд)</w:t>
      </w:r>
      <w:r>
        <w:rPr>
          <w:sz w:val="20"/>
        </w:rPr>
        <w:t xml:space="preserve"> определяются по формуле:</w:t>
      </w:r>
    </w:p>
    <w:p>
      <w:pPr>
        <w:pStyle w:val="0"/>
        <w:jc w:val="both"/>
      </w:pPr>
      <w:r>
        <w:rPr>
          <w:sz w:val="20"/>
        </w:rPr>
      </w:r>
    </w:p>
    <w:p>
      <w:pPr>
        <w:pStyle w:val="0"/>
        <w:jc w:val="center"/>
      </w:pPr>
      <w:r>
        <w:rPr>
          <w:position w:val="-23"/>
        </w:rPr>
        <w:drawing>
          <wp:inline distT="0" distB="0" distL="0" distR="0">
            <wp:extent cx="1114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то</w:t>
      </w:r>
      <w:r>
        <w:rPr>
          <w:sz w:val="20"/>
        </w:rPr>
        <w:t xml:space="preserve"> - сумма годовых затрат на транспортирование отходов от использования товаров (рублей);</w:t>
      </w:r>
    </w:p>
    <w:p>
      <w:pPr>
        <w:pStyle w:val="0"/>
        <w:spacing w:before="200" w:line-rule="auto"/>
        <w:ind w:firstLine="540"/>
        <w:jc w:val="both"/>
      </w:pPr>
      <w:r>
        <w:rPr>
          <w:sz w:val="20"/>
        </w:rPr>
        <w:t xml:space="preserve">М</w:t>
      </w:r>
      <w:r>
        <w:rPr>
          <w:sz w:val="20"/>
          <w:vertAlign w:val="subscript"/>
        </w:rPr>
        <w:t xml:space="preserve">т</w:t>
      </w:r>
      <w:r>
        <w:rPr>
          <w:sz w:val="20"/>
        </w:rPr>
        <w:t xml:space="preserve"> - общая масса транспортируемых отходов от использования товаров (тонн).</w:t>
      </w:r>
    </w:p>
    <w:p>
      <w:pPr>
        <w:pStyle w:val="0"/>
        <w:spacing w:before="200" w:line-rule="auto"/>
        <w:ind w:firstLine="540"/>
        <w:jc w:val="both"/>
      </w:pPr>
      <w:r>
        <w:rPr>
          <w:sz w:val="20"/>
        </w:rPr>
        <w:t xml:space="preserve">Удельные ежегодные затраты на транспортирование отходов от использования товаров З</w:t>
      </w:r>
      <w:r>
        <w:rPr>
          <w:sz w:val="20"/>
          <w:vertAlign w:val="subscript"/>
        </w:rPr>
        <w:t xml:space="preserve">транспорт.(уд)</w:t>
      </w:r>
      <w:r>
        <w:rPr>
          <w:sz w:val="20"/>
        </w:rPr>
        <w:t xml:space="preserve"> определяются на основе данных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 аналогично затратам на транспортирование твердых коммунальных отходов, включенных в тариф регионального оператора по обращению с твердыми коммунальными отходами, и массе транспортируемых твердых коммунальных отходов.</w:t>
      </w:r>
    </w:p>
    <w:p>
      <w:pPr>
        <w:pStyle w:val="0"/>
        <w:spacing w:before="200" w:line-rule="auto"/>
        <w:ind w:firstLine="540"/>
        <w:jc w:val="both"/>
      </w:pPr>
      <w:r>
        <w:rPr>
          <w:sz w:val="20"/>
        </w:rPr>
        <w:t xml:space="preserve">6. Затраты по показателю З</w:t>
      </w:r>
      <w:r>
        <w:rPr>
          <w:sz w:val="20"/>
          <w:vertAlign w:val="subscript"/>
        </w:rPr>
        <w:t xml:space="preserve">обраб.(уд)</w:t>
      </w:r>
      <w:r>
        <w:rPr>
          <w:sz w:val="20"/>
        </w:rPr>
        <w:t xml:space="preserve"> определяются по формуле:</w:t>
      </w:r>
    </w:p>
    <w:p>
      <w:pPr>
        <w:pStyle w:val="0"/>
        <w:jc w:val="both"/>
      </w:pPr>
      <w:r>
        <w:rPr>
          <w:sz w:val="20"/>
        </w:rPr>
      </w:r>
    </w:p>
    <w:p>
      <w:pPr>
        <w:pStyle w:val="0"/>
        <w:jc w:val="center"/>
      </w:pPr>
      <w:r>
        <w:rPr>
          <w:position w:val="-26"/>
        </w:rPr>
        <w:drawing>
          <wp:inline distT="0" distB="0" distL="0" distR="0">
            <wp:extent cx="24003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ЗО</w:t>
      </w:r>
      <w:r>
        <w:rPr>
          <w:sz w:val="20"/>
          <w:vertAlign w:val="subscript"/>
        </w:rPr>
        <w:t xml:space="preserve">обраб.</w:t>
      </w:r>
      <w:r>
        <w:rPr>
          <w:sz w:val="20"/>
        </w:rPr>
        <w:t xml:space="preserve"> - операционные затраты на обработку отходов от использования товаров (рублей), включающие:</w:t>
      </w:r>
    </w:p>
    <w:p>
      <w:pPr>
        <w:pStyle w:val="0"/>
        <w:spacing w:before="200" w:line-rule="auto"/>
        <w:ind w:firstLine="540"/>
        <w:jc w:val="both"/>
      </w:pPr>
      <w:r>
        <w:rPr>
          <w:sz w:val="20"/>
        </w:rPr>
        <w:t xml:space="preserve">затраты на приобретаемые энергетические ресурсы;</w:t>
      </w:r>
    </w:p>
    <w:p>
      <w:pPr>
        <w:pStyle w:val="0"/>
        <w:spacing w:before="200" w:line-rule="auto"/>
        <w:ind w:firstLine="540"/>
        <w:jc w:val="both"/>
      </w:pPr>
      <w:r>
        <w:rPr>
          <w:sz w:val="20"/>
        </w:rPr>
        <w:t xml:space="preserve">затраты на оплату труда и отчисления на социальные нужды инженерно-технических работников;</w:t>
      </w:r>
    </w:p>
    <w:p>
      <w:pPr>
        <w:pStyle w:val="0"/>
        <w:spacing w:before="200" w:line-rule="auto"/>
        <w:ind w:firstLine="540"/>
        <w:jc w:val="both"/>
      </w:pPr>
      <w:r>
        <w:rPr>
          <w:sz w:val="20"/>
        </w:rPr>
        <w:t xml:space="preserve">затраты на запасные части и расходные материалы.</w:t>
      </w:r>
    </w:p>
    <w:p>
      <w:pPr>
        <w:pStyle w:val="0"/>
        <w:spacing w:before="200" w:line-rule="auto"/>
        <w:ind w:firstLine="540"/>
        <w:jc w:val="both"/>
      </w:pPr>
      <w:r>
        <w:rPr>
          <w:sz w:val="20"/>
        </w:rPr>
        <w:t xml:space="preserve">Операционные затраты на обработку отходов от использования товаров определяются путем сопоставления рыночных цен (анализа рынка) на основании информации об идентичных товарах, работах или при их отсутствии - на основании информации об однородных товарах, работах, а также на основании данных о затратах на оплату труда и приобретаемые энергетические ресурсы, содержащихся в официальной статистической информации, предоставляемой Федеральной службой государственной статистики. Затраты на обработку отходов от использования товаров не включают затраты на обработку твердых коммунальных отходов;</w:t>
      </w:r>
    </w:p>
    <w:p>
      <w:pPr>
        <w:pStyle w:val="0"/>
        <w:spacing w:before="200" w:line-rule="auto"/>
        <w:ind w:firstLine="540"/>
        <w:jc w:val="both"/>
      </w:pPr>
      <w:r>
        <w:rPr>
          <w:sz w:val="20"/>
        </w:rPr>
        <w:t xml:space="preserve">С</w:t>
      </w:r>
      <w:r>
        <w:rPr>
          <w:sz w:val="20"/>
          <w:vertAlign w:val="subscript"/>
        </w:rPr>
        <w:t xml:space="preserve">обраб.</w:t>
      </w:r>
      <w:r>
        <w:rPr>
          <w:sz w:val="20"/>
        </w:rPr>
        <w:t xml:space="preserve"> - капитальные вложения в объект обработки отходов от использования товаров (рублей). Указанные вложения определяются исходя из суммы затрат на капитальное строительство на основании укрупненных нормативов цены строительства, разрабатываемых и применяемых в соответствии с Градостроительным </w:t>
      </w:r>
      <w:hyperlink w:history="0" r:id="rId1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а также стоимости технологического оборудования, определяемой путем сопоставления рыночных цен (анализа рынка) на основании информации об идентичном товаре или при его отсутствии - на основании информации об однородном товаре. Капитальные вложения в объект обработки отходов от использования товаров не включают затраты на капитальные вложения в объект обработки твердых коммунальных отходов и стоимость технологического оборудования обработки твердых коммунальных отходов;</w:t>
      </w:r>
    </w:p>
    <w:p>
      <w:pPr>
        <w:pStyle w:val="0"/>
        <w:spacing w:before="200" w:line-rule="auto"/>
        <w:ind w:firstLine="540"/>
        <w:jc w:val="both"/>
      </w:pPr>
      <w:r>
        <w:rPr>
          <w:sz w:val="20"/>
        </w:rPr>
        <w:t xml:space="preserve">ПС</w:t>
      </w:r>
      <w:r>
        <w:rPr>
          <w:sz w:val="20"/>
          <w:vertAlign w:val="subscript"/>
        </w:rPr>
        <w:t xml:space="preserve">экспл.</w:t>
      </w:r>
      <w:r>
        <w:rPr>
          <w:sz w:val="20"/>
        </w:rPr>
        <w:t xml:space="preserve"> - общий проектный срок эксплуатации объекта обработки отходов от использования товаров (лет). Указанный срок определяется для объектов капитального строительства исходя из данных </w:t>
      </w:r>
      <w:hyperlink w:history="0" r:id="rId13"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Классификация), для технологического оборудования по обработке отходов от использования товаров исходя из данных </w:t>
      </w:r>
      <w:hyperlink w:history="0" r:id="rId14"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технической документации и информации об идентичном товаре или при его отсутствии - на основании информации об однородном товаре;</w:t>
      </w:r>
    </w:p>
    <w:p>
      <w:pPr>
        <w:pStyle w:val="0"/>
        <w:spacing w:before="200" w:line-rule="auto"/>
        <w:ind w:firstLine="540"/>
        <w:jc w:val="both"/>
      </w:pPr>
      <w:r>
        <w:rPr>
          <w:sz w:val="20"/>
        </w:rPr>
        <w:t xml:space="preserve">ПМ</w:t>
      </w:r>
      <w:r>
        <w:rPr>
          <w:sz w:val="20"/>
          <w:vertAlign w:val="subscript"/>
        </w:rPr>
        <w:t xml:space="preserve">объекта</w:t>
      </w:r>
      <w:r>
        <w:rPr>
          <w:sz w:val="20"/>
        </w:rPr>
        <w:t xml:space="preserve"> - проектная мощность объекта обработки отходов от использования товаров (тонн в год). Указанная мощность определяется исходя из технической документации, определяющей эксплуатационные характеристики технологического оборудования по обработке отходов от использования товаров на основании информации об идентичном товаре или при его отсутствии - на основании информации об однородном товаре.</w:t>
      </w:r>
    </w:p>
    <w:p>
      <w:pPr>
        <w:pStyle w:val="0"/>
        <w:spacing w:before="200" w:line-rule="auto"/>
        <w:ind w:firstLine="540"/>
        <w:jc w:val="both"/>
      </w:pPr>
      <w:r>
        <w:rPr>
          <w:sz w:val="20"/>
        </w:rPr>
        <w:t xml:space="preserve">7. Затраты по показателю З</w:t>
      </w:r>
      <w:r>
        <w:rPr>
          <w:sz w:val="20"/>
          <w:vertAlign w:val="subscript"/>
        </w:rPr>
        <w:t xml:space="preserve">утил.(уд)</w:t>
      </w:r>
      <w:r>
        <w:rPr>
          <w:sz w:val="20"/>
        </w:rPr>
        <w:t xml:space="preserve"> определяются по формуле:</w:t>
      </w:r>
    </w:p>
    <w:p>
      <w:pPr>
        <w:pStyle w:val="0"/>
        <w:jc w:val="both"/>
      </w:pPr>
      <w:r>
        <w:rPr>
          <w:sz w:val="20"/>
        </w:rPr>
      </w:r>
    </w:p>
    <w:p>
      <w:pPr>
        <w:pStyle w:val="0"/>
        <w:jc w:val="center"/>
      </w:pPr>
      <w:r>
        <w:rPr>
          <w:position w:val="-26"/>
        </w:rPr>
        <w:drawing>
          <wp:inline distT="0" distB="0" distL="0" distR="0">
            <wp:extent cx="2314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ЗО</w:t>
      </w:r>
      <w:r>
        <w:rPr>
          <w:sz w:val="20"/>
          <w:vertAlign w:val="subscript"/>
        </w:rPr>
        <w:t xml:space="preserve">утил.</w:t>
      </w:r>
      <w:r>
        <w:rPr>
          <w:sz w:val="20"/>
        </w:rPr>
        <w:t xml:space="preserve"> - операционные затраты на утилизацию отходов от использования товаров (рублей), включающие:</w:t>
      </w:r>
    </w:p>
    <w:p>
      <w:pPr>
        <w:pStyle w:val="0"/>
        <w:spacing w:before="200" w:line-rule="auto"/>
        <w:ind w:firstLine="540"/>
        <w:jc w:val="both"/>
      </w:pPr>
      <w:r>
        <w:rPr>
          <w:sz w:val="20"/>
        </w:rPr>
        <w:t xml:space="preserve">затраты на приобретаемые энергетические ресурсы;</w:t>
      </w:r>
    </w:p>
    <w:p>
      <w:pPr>
        <w:pStyle w:val="0"/>
        <w:spacing w:before="200" w:line-rule="auto"/>
        <w:ind w:firstLine="540"/>
        <w:jc w:val="both"/>
      </w:pPr>
      <w:r>
        <w:rPr>
          <w:sz w:val="20"/>
        </w:rPr>
        <w:t xml:space="preserve">затраты на оплату труда и отчисления на социальные нужды инженерно-технических работников;</w:t>
      </w:r>
    </w:p>
    <w:p>
      <w:pPr>
        <w:pStyle w:val="0"/>
        <w:spacing w:before="200" w:line-rule="auto"/>
        <w:ind w:firstLine="540"/>
        <w:jc w:val="both"/>
      </w:pPr>
      <w:r>
        <w:rPr>
          <w:sz w:val="20"/>
        </w:rPr>
        <w:t xml:space="preserve">затраты на запасные части и расходные материалы.</w:t>
      </w:r>
    </w:p>
    <w:p>
      <w:pPr>
        <w:pStyle w:val="0"/>
        <w:spacing w:before="200" w:line-rule="auto"/>
        <w:ind w:firstLine="540"/>
        <w:jc w:val="both"/>
      </w:pPr>
      <w:r>
        <w:rPr>
          <w:sz w:val="20"/>
        </w:rPr>
        <w:t xml:space="preserve">Операционные затраты на утилизацию отходов от использования товаров определяются путем сопоставления рыночных цен (анализа рынка) на основании информации об идентичных товарах, работах или при их отсутствии - на основании информации об однородных товарах, работах, а также на основании данных о затратах на оплату труда и приобретаемые энергетические ресурсы, содержащихся в официальной статистической информации, предоставляемой Федеральной службой государственной статистики;</w:t>
      </w:r>
    </w:p>
    <w:p>
      <w:pPr>
        <w:pStyle w:val="0"/>
        <w:spacing w:before="200" w:line-rule="auto"/>
        <w:ind w:firstLine="540"/>
        <w:jc w:val="both"/>
      </w:pPr>
      <w:r>
        <w:rPr>
          <w:sz w:val="20"/>
        </w:rPr>
        <w:t xml:space="preserve">С</w:t>
      </w:r>
      <w:r>
        <w:rPr>
          <w:sz w:val="20"/>
          <w:vertAlign w:val="subscript"/>
        </w:rPr>
        <w:t xml:space="preserve">утил.</w:t>
      </w:r>
      <w:r>
        <w:rPr>
          <w:sz w:val="20"/>
        </w:rPr>
        <w:t xml:space="preserve"> - капитальные вложения в объект утилизации отходов от использования товаров (рублей). Указанные вложения определяются исходя из суммы затрат на капитальное строительство на основании укрупненных нормативов цены строительства, разрабатываемых и применяемых в соответствии с Градостроительным </w:t>
      </w:r>
      <w:hyperlink w:history="0" r:id="rId1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а также стоимости технологического оборудования, определяемой путем сопоставления рыночных цен (анализа рынка) на основании информации об идентичном товаре или при его отсутствии - на основании информации об однородном товаре;</w:t>
      </w:r>
    </w:p>
    <w:p>
      <w:pPr>
        <w:pStyle w:val="0"/>
        <w:spacing w:before="200" w:line-rule="auto"/>
        <w:ind w:firstLine="540"/>
        <w:jc w:val="both"/>
      </w:pPr>
      <w:r>
        <w:rPr>
          <w:sz w:val="20"/>
        </w:rPr>
        <w:t xml:space="preserve">ПС</w:t>
      </w:r>
      <w:r>
        <w:rPr>
          <w:sz w:val="20"/>
          <w:vertAlign w:val="subscript"/>
        </w:rPr>
        <w:t xml:space="preserve">экспл.</w:t>
      </w:r>
      <w:r>
        <w:rPr>
          <w:sz w:val="20"/>
        </w:rPr>
        <w:t xml:space="preserve"> - общий проектный срок эксплуатации объекта утилизации отходов от использования товаров (лет). Указанный срок определяется для объектов капитального строительства исходя из данных </w:t>
      </w:r>
      <w:hyperlink w:history="0" r:id="rId17"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для технологического оборудования по утилизации отходов от использования товаров исходя из данных </w:t>
      </w:r>
      <w:hyperlink w:history="0" r:id="rId18"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технической документации и информации об идентичном товаре или при его отсутствии - на основании информации об однородном товаре;</w:t>
      </w:r>
    </w:p>
    <w:p>
      <w:pPr>
        <w:pStyle w:val="0"/>
        <w:spacing w:before="200" w:line-rule="auto"/>
        <w:ind w:firstLine="540"/>
        <w:jc w:val="both"/>
      </w:pPr>
      <w:r>
        <w:rPr>
          <w:sz w:val="20"/>
        </w:rPr>
        <w:t xml:space="preserve">ПМ</w:t>
      </w:r>
      <w:r>
        <w:rPr>
          <w:sz w:val="20"/>
          <w:vertAlign w:val="subscript"/>
        </w:rPr>
        <w:t xml:space="preserve">объекта</w:t>
      </w:r>
      <w:r>
        <w:rPr>
          <w:sz w:val="20"/>
        </w:rPr>
        <w:t xml:space="preserve"> - проектная мощность объекта утилизации отходов от использования товаров (тонн в год). Указанная мощность определяется исходя из технической документации, определяющей эксплуатационные характеристики технологического оборудования по утилизации отходов от использования товаров на основании информации об идентичном товаре или при его отсутствии - на основании информации об однородном товаре.</w:t>
      </w:r>
    </w:p>
    <w:p>
      <w:pPr>
        <w:pStyle w:val="0"/>
        <w:spacing w:before="200" w:line-rule="auto"/>
        <w:ind w:firstLine="540"/>
        <w:jc w:val="both"/>
      </w:pPr>
      <w:r>
        <w:rPr>
          <w:sz w:val="20"/>
        </w:rPr>
        <w:t xml:space="preserve">8. Коэффициент применяется по каждой группе товаров и (или) упаковки, включенных в перечень товаров, упаковки, отходы от использования которых подлежат утилизации, утверждаемый Правительством Российской Федерации в соответствии с </w:t>
      </w:r>
      <w:hyperlink w:history="0" r:id="rId1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 и рассчитывается в зависимости от наличия одного или нескольких критериев, определяемых исходя из сложности извлечения отходов от использования товаров для дальнейшей утилизации, наличия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востребованности вторичного сырья, полученного из таких отходов, для использования при производстве товаров (продукции) (КЭ), по формуле:</w:t>
      </w:r>
    </w:p>
    <w:p>
      <w:pPr>
        <w:pStyle w:val="0"/>
        <w:jc w:val="both"/>
      </w:pPr>
      <w:r>
        <w:rPr>
          <w:sz w:val="20"/>
        </w:rPr>
      </w:r>
    </w:p>
    <w:p>
      <w:pPr>
        <w:pStyle w:val="0"/>
        <w:jc w:val="center"/>
      </w:pPr>
      <w:r>
        <w:rPr>
          <w:sz w:val="20"/>
        </w:rPr>
        <w:t xml:space="preserve">КЭ = 1 + К</w:t>
      </w:r>
      <w:r>
        <w:rPr>
          <w:sz w:val="20"/>
          <w:vertAlign w:val="subscript"/>
        </w:rPr>
        <w:t xml:space="preserve">извл.</w:t>
      </w:r>
      <w:r>
        <w:rPr>
          <w:sz w:val="20"/>
        </w:rPr>
        <w:t xml:space="preserve"> + К</w:t>
      </w:r>
      <w:r>
        <w:rPr>
          <w:sz w:val="20"/>
          <w:vertAlign w:val="subscript"/>
        </w:rPr>
        <w:t xml:space="preserve">техн.</w:t>
      </w:r>
      <w:r>
        <w:rPr>
          <w:sz w:val="20"/>
        </w:rPr>
        <w:t xml:space="preserve"> + К</w:t>
      </w:r>
      <w:r>
        <w:rPr>
          <w:sz w:val="20"/>
          <w:vertAlign w:val="subscript"/>
        </w:rPr>
        <w:t xml:space="preserve">цикл.</w:t>
      </w:r>
      <w:r>
        <w:rPr>
          <w:sz w:val="20"/>
        </w:rPr>
        <w:t xml:space="preserve"> + К</w:t>
      </w:r>
      <w:r>
        <w:rPr>
          <w:sz w:val="20"/>
          <w:vertAlign w:val="subscript"/>
        </w:rPr>
        <w:t xml:space="preserve">потр.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извл.</w:t>
      </w:r>
      <w:r>
        <w:rPr>
          <w:sz w:val="20"/>
        </w:rPr>
        <w:t xml:space="preserve"> - критерий сложности извлечения отходов от использования товаров. Указанный критерий определяется на основании результатов опроса не менее 50 процентов юридических лиц и индивидуальных предпринимателей, осуществляющих обработку отходов, сведения об объектах которых включены в федеральную схему обращения с твердыми коммунальными отходами.</w:t>
      </w:r>
    </w:p>
    <w:p>
      <w:pPr>
        <w:pStyle w:val="0"/>
        <w:spacing w:before="200" w:line-rule="auto"/>
        <w:ind w:firstLine="540"/>
        <w:jc w:val="both"/>
      </w:pPr>
      <w:r>
        <w:rPr>
          <w:sz w:val="20"/>
        </w:rPr>
        <w:t xml:space="preserve">Применяется значение К</w:t>
      </w:r>
      <w:r>
        <w:rPr>
          <w:sz w:val="20"/>
          <w:vertAlign w:val="subscript"/>
        </w:rPr>
        <w:t xml:space="preserve">извл.</w:t>
      </w:r>
      <w:r>
        <w:rPr>
          <w:sz w:val="20"/>
        </w:rPr>
        <w:t xml:space="preserve"> = 0, за исключением случая, указанного в </w:t>
      </w:r>
      <w:hyperlink w:history="0" w:anchor="P111" w:tooltip="В случае если простым большинством опрошенных юридических лиц и индивидуальных предпринимателей, осуществляющих обработку отходов, сведения об объектах которых включены в федеральную схему обращения с твердыми коммунальными отходами, подтверждается отсутствие технологической возможности фактического извлечения отходов от использования товаров из общего потока отходов или подтверждается, что извлечение отходов от использования товаров представляется затруднительным ввиду особенностей материала, размера и ...">
        <w:r>
          <w:rPr>
            <w:sz w:val="20"/>
            <w:color w:val="0000ff"/>
          </w:rPr>
          <w:t xml:space="preserve">абзаце шестом</w:t>
        </w:r>
      </w:hyperlink>
      <w:r>
        <w:rPr>
          <w:sz w:val="20"/>
        </w:rPr>
        <w:t xml:space="preserve"> настоящего пункта.</w:t>
      </w:r>
    </w:p>
    <w:bookmarkStart w:id="111" w:name="P111"/>
    <w:bookmarkEnd w:id="111"/>
    <w:p>
      <w:pPr>
        <w:pStyle w:val="0"/>
        <w:spacing w:before="200" w:line-rule="auto"/>
        <w:ind w:firstLine="540"/>
        <w:jc w:val="both"/>
      </w:pPr>
      <w:r>
        <w:rPr>
          <w:sz w:val="20"/>
        </w:rPr>
        <w:t xml:space="preserve">В случае если простым большинством опрошенных юридических лиц и индивидуальных предпринимателей, осуществляющих обработку отходов, сведения об объектах которых включены в федеральную схему обращения с твердыми коммунальными отходами, подтверждается отсутствие технологической возможности фактического извлечения отходов от использования товаров из общего потока отходов или подтверждается, что извлечение отходов от использования товаров представляется затруднительным ввиду особенностей материала, размера и степени загрязненности отходов от использования товаров, не позволяющих осуществить их отбор посредством имеющегося оборудования для автоматизированной сортировки с учетом установленных скоростного режима работы оборудования и насыпной плотности потока отходов, с 1 января по 31 декабря 2024 г. применяется значение К</w:t>
      </w:r>
      <w:r>
        <w:rPr>
          <w:sz w:val="20"/>
          <w:vertAlign w:val="subscript"/>
        </w:rPr>
        <w:t xml:space="preserve">извл.</w:t>
      </w:r>
      <w:r>
        <w:rPr>
          <w:sz w:val="20"/>
        </w:rPr>
        <w:t xml:space="preserve"> = 0,25, с 1 января по 31 декабря 2025 г. - значение К</w:t>
      </w:r>
      <w:r>
        <w:rPr>
          <w:sz w:val="20"/>
          <w:vertAlign w:val="subscript"/>
        </w:rPr>
        <w:t xml:space="preserve">извл.</w:t>
      </w:r>
      <w:r>
        <w:rPr>
          <w:sz w:val="20"/>
        </w:rPr>
        <w:t xml:space="preserve"> </w:t>
      </w:r>
      <w:r>
        <w:rPr>
          <w:sz w:val="20"/>
          <w:vertAlign w:val="superscript"/>
        </w:rPr>
        <w:t xml:space="preserve">=</w:t>
      </w:r>
      <w:r>
        <w:rPr>
          <w:sz w:val="20"/>
        </w:rPr>
        <w:t xml:space="preserve"> 0,5, с 1 января 2026 г. - значение К</w:t>
      </w:r>
      <w:r>
        <w:rPr>
          <w:sz w:val="20"/>
          <w:vertAlign w:val="subscript"/>
        </w:rPr>
        <w:t xml:space="preserve">извл.</w:t>
      </w:r>
      <w:r>
        <w:rPr>
          <w:sz w:val="20"/>
        </w:rPr>
        <w:t xml:space="preserve"> = 1;</w:t>
      </w:r>
    </w:p>
    <w:p>
      <w:pPr>
        <w:pStyle w:val="0"/>
        <w:spacing w:before="200" w:line-rule="auto"/>
        <w:ind w:firstLine="540"/>
        <w:jc w:val="both"/>
      </w:pPr>
      <w:r>
        <w:rPr>
          <w:sz w:val="20"/>
        </w:rPr>
        <w:t xml:space="preserve">К</w:t>
      </w:r>
      <w:r>
        <w:rPr>
          <w:sz w:val="20"/>
          <w:vertAlign w:val="subscript"/>
        </w:rPr>
        <w:t xml:space="preserve">техн.</w:t>
      </w:r>
      <w:r>
        <w:rPr>
          <w:sz w:val="20"/>
        </w:rPr>
        <w:t xml:space="preserve"> - критерий наличия технологической возможности утилизации отходов от использования товаров.</w:t>
      </w:r>
    </w:p>
    <w:p>
      <w:pPr>
        <w:pStyle w:val="0"/>
        <w:spacing w:before="200" w:line-rule="auto"/>
        <w:ind w:firstLine="540"/>
        <w:jc w:val="both"/>
      </w:pPr>
      <w:r>
        <w:rPr>
          <w:sz w:val="20"/>
        </w:rPr>
        <w:t xml:space="preserve">Применяется значение К</w:t>
      </w:r>
      <w:r>
        <w:rPr>
          <w:sz w:val="20"/>
          <w:vertAlign w:val="subscript"/>
        </w:rPr>
        <w:t xml:space="preserve">техн.</w:t>
      </w:r>
      <w:r>
        <w:rPr>
          <w:sz w:val="20"/>
        </w:rPr>
        <w:t xml:space="preserve"> = 0, за исключением случая, указанного в </w:t>
      </w:r>
      <w:hyperlink w:history="0" w:anchor="P114" w:tooltip="В случае если материалы товаров, упаковки характеризуются отсутствием технологического решения утилизации отходов от использования товаров, образующихся после утраты ими потребительских свойств, в том числе за счет комбинации основного материала с иными видами материалов, с 1 января по 31 декабря 2024 г. применяется значение Ктехн. = 0,25, с 1 января по 31 декабря 2025 г. - значение Ктехн. = 0,5, с 1 января 2026 г. - значение Ктехн. = 1;">
        <w:r>
          <w:rPr>
            <w:sz w:val="20"/>
            <w:color w:val="0000ff"/>
          </w:rPr>
          <w:t xml:space="preserve">абзаце девятом</w:t>
        </w:r>
      </w:hyperlink>
      <w:r>
        <w:rPr>
          <w:sz w:val="20"/>
        </w:rPr>
        <w:t xml:space="preserve"> настоящего пункта.</w:t>
      </w:r>
    </w:p>
    <w:bookmarkStart w:id="114" w:name="P114"/>
    <w:bookmarkEnd w:id="114"/>
    <w:p>
      <w:pPr>
        <w:pStyle w:val="0"/>
        <w:spacing w:before="200" w:line-rule="auto"/>
        <w:ind w:firstLine="540"/>
        <w:jc w:val="both"/>
      </w:pPr>
      <w:r>
        <w:rPr>
          <w:sz w:val="20"/>
        </w:rPr>
        <w:t xml:space="preserve">В случае если материалы товаров, упаковки характеризуются отсутствием технологического решения утилизации отходов от использования товаров, образующихся после утраты ими потребительских свойств, в том числе за счет комбинации основного материала с иными видами материалов, с 1 января по 31 декабря 2024 г. применяется значение К</w:t>
      </w:r>
      <w:r>
        <w:rPr>
          <w:sz w:val="20"/>
          <w:vertAlign w:val="subscript"/>
        </w:rPr>
        <w:t xml:space="preserve">техн.</w:t>
      </w:r>
      <w:r>
        <w:rPr>
          <w:sz w:val="20"/>
        </w:rPr>
        <w:t xml:space="preserve"> = 0,25, с 1 января по 31 декабря 2025 г. - значение К</w:t>
      </w:r>
      <w:r>
        <w:rPr>
          <w:sz w:val="20"/>
          <w:vertAlign w:val="subscript"/>
        </w:rPr>
        <w:t xml:space="preserve">техн.</w:t>
      </w:r>
      <w:r>
        <w:rPr>
          <w:sz w:val="20"/>
        </w:rPr>
        <w:t xml:space="preserve"> = 0,5, с 1 января 2026 г. - значение К</w:t>
      </w:r>
      <w:r>
        <w:rPr>
          <w:sz w:val="20"/>
          <w:vertAlign w:val="subscript"/>
        </w:rPr>
        <w:t xml:space="preserve">техн.</w:t>
      </w:r>
      <w:r>
        <w:rPr>
          <w:sz w:val="20"/>
        </w:rPr>
        <w:t xml:space="preserve"> = 1;</w:t>
      </w:r>
    </w:p>
    <w:p>
      <w:pPr>
        <w:pStyle w:val="0"/>
        <w:spacing w:before="200" w:line-rule="auto"/>
        <w:ind w:firstLine="540"/>
        <w:jc w:val="both"/>
      </w:pPr>
      <w:r>
        <w:rPr>
          <w:sz w:val="20"/>
        </w:rPr>
        <w:t xml:space="preserve">К</w:t>
      </w:r>
      <w:r>
        <w:rPr>
          <w:sz w:val="20"/>
          <w:vertAlign w:val="subscript"/>
        </w:rPr>
        <w:t xml:space="preserve">цикл.</w:t>
      </w:r>
      <w:r>
        <w:rPr>
          <w:sz w:val="20"/>
        </w:rPr>
        <w:t xml:space="preserve"> - критерий, характеризующий изменение физических, химических и механических свойств материалов при многократном использовании с учетом возможного количества циклов переработки отходов от использования товаров для получения товаров (продукции), назначение которых аналогично полученным из первичного сырья.</w:t>
      </w:r>
    </w:p>
    <w:p>
      <w:pPr>
        <w:pStyle w:val="0"/>
        <w:spacing w:before="200" w:line-rule="auto"/>
        <w:ind w:firstLine="540"/>
        <w:jc w:val="both"/>
      </w:pPr>
      <w:r>
        <w:rPr>
          <w:sz w:val="20"/>
        </w:rPr>
        <w:t xml:space="preserve">Применяется значение К</w:t>
      </w:r>
      <w:r>
        <w:rPr>
          <w:sz w:val="20"/>
          <w:vertAlign w:val="subscript"/>
        </w:rPr>
        <w:t xml:space="preserve">цикл.</w:t>
      </w:r>
      <w:r>
        <w:rPr>
          <w:sz w:val="20"/>
        </w:rPr>
        <w:t xml:space="preserve"> = 0, за исключением случая, указанного в </w:t>
      </w:r>
      <w:hyperlink w:history="0" w:anchor="P117" w:tooltip="В случае если количество циклов переработки отходов от использования товаров не более 5, с 1 января по 31 декабря 2024 г. применяется значение Кцикл. = 0,25, с 1 января по 31 декабря 2025 г. - значение Кцикл. = 0,5, с 1 января 2026 г. - значение Кцикл. = 1;">
        <w:r>
          <w:rPr>
            <w:sz w:val="20"/>
            <w:color w:val="0000ff"/>
          </w:rPr>
          <w:t xml:space="preserve">абзаце двенадцатом</w:t>
        </w:r>
      </w:hyperlink>
      <w:r>
        <w:rPr>
          <w:sz w:val="20"/>
        </w:rPr>
        <w:t xml:space="preserve"> настоящего пункта.</w:t>
      </w:r>
    </w:p>
    <w:bookmarkStart w:id="117" w:name="P117"/>
    <w:bookmarkEnd w:id="117"/>
    <w:p>
      <w:pPr>
        <w:pStyle w:val="0"/>
        <w:spacing w:before="200" w:line-rule="auto"/>
        <w:ind w:firstLine="540"/>
        <w:jc w:val="both"/>
      </w:pPr>
      <w:r>
        <w:rPr>
          <w:sz w:val="20"/>
        </w:rPr>
        <w:t xml:space="preserve">В случае если количество циклов переработки отходов от использования товаров не более 5, с 1 января по 31 декабря 2024 г. применяется значение К</w:t>
      </w:r>
      <w:r>
        <w:rPr>
          <w:sz w:val="20"/>
          <w:vertAlign w:val="subscript"/>
        </w:rPr>
        <w:t xml:space="preserve">цикл.</w:t>
      </w:r>
      <w:r>
        <w:rPr>
          <w:sz w:val="20"/>
        </w:rPr>
        <w:t xml:space="preserve"> = 0,25, с 1 января по 31 декабря 2025 г. - значение К</w:t>
      </w:r>
      <w:r>
        <w:rPr>
          <w:sz w:val="20"/>
          <w:vertAlign w:val="subscript"/>
        </w:rPr>
        <w:t xml:space="preserve">цикл.</w:t>
      </w:r>
      <w:r>
        <w:rPr>
          <w:sz w:val="20"/>
        </w:rPr>
        <w:t xml:space="preserve"> = 0,5, с 1 января 2026 г. - значение К</w:t>
      </w:r>
      <w:r>
        <w:rPr>
          <w:sz w:val="20"/>
          <w:vertAlign w:val="subscript"/>
        </w:rPr>
        <w:t xml:space="preserve">цикл.</w:t>
      </w:r>
      <w:r>
        <w:rPr>
          <w:sz w:val="20"/>
        </w:rPr>
        <w:t xml:space="preserve"> = 1;</w:t>
      </w:r>
    </w:p>
    <w:p>
      <w:pPr>
        <w:pStyle w:val="0"/>
        <w:spacing w:before="200" w:line-rule="auto"/>
        <w:ind w:firstLine="540"/>
        <w:jc w:val="both"/>
      </w:pPr>
      <w:r>
        <w:rPr>
          <w:sz w:val="20"/>
        </w:rPr>
        <w:t xml:space="preserve">К</w:t>
      </w:r>
      <w:r>
        <w:rPr>
          <w:sz w:val="20"/>
          <w:vertAlign w:val="subscript"/>
        </w:rPr>
        <w:t xml:space="preserve">потр.</w:t>
      </w:r>
      <w:r>
        <w:rPr>
          <w:sz w:val="20"/>
        </w:rPr>
        <w:t xml:space="preserve"> - критерий, характеризующий востребованность вторичного сырья, полученного из отходов от использования товаров, для использования при производстве товаров (продукции).</w:t>
      </w:r>
    </w:p>
    <w:p>
      <w:pPr>
        <w:pStyle w:val="0"/>
        <w:spacing w:before="200" w:line-rule="auto"/>
        <w:ind w:firstLine="540"/>
        <w:jc w:val="both"/>
      </w:pPr>
      <w:r>
        <w:rPr>
          <w:sz w:val="20"/>
        </w:rPr>
        <w:t xml:space="preserve">До 1 января 2025 г. критерий К</w:t>
      </w:r>
      <w:r>
        <w:rPr>
          <w:sz w:val="20"/>
          <w:vertAlign w:val="subscript"/>
        </w:rPr>
        <w:t xml:space="preserve">потр.</w:t>
      </w:r>
      <w:r>
        <w:rPr>
          <w:sz w:val="20"/>
        </w:rPr>
        <w:t xml:space="preserve"> определяется на основании результатов опроса юридических лиц и индивидуальных предпринимателей, осуществляющих деятельность по утилизации отходов от использования товаров, независимо от включения сведений о них в реестр юридических лиц и индивидуальных предпринимателей, осуществляющих утилизацию отходов от использования товаров.</w:t>
      </w:r>
    </w:p>
    <w:p>
      <w:pPr>
        <w:pStyle w:val="0"/>
        <w:spacing w:before="200" w:line-rule="auto"/>
        <w:ind w:firstLine="540"/>
        <w:jc w:val="both"/>
      </w:pPr>
      <w:r>
        <w:rPr>
          <w:sz w:val="20"/>
        </w:rPr>
        <w:t xml:space="preserve">До 1 января 2025 г. применяется значение К</w:t>
      </w:r>
      <w:r>
        <w:rPr>
          <w:sz w:val="20"/>
          <w:vertAlign w:val="subscript"/>
        </w:rPr>
        <w:t xml:space="preserve">потр.</w:t>
      </w:r>
      <w:r>
        <w:rPr>
          <w:sz w:val="20"/>
        </w:rPr>
        <w:t xml:space="preserve"> = 0, за исключением случая, указанного в </w:t>
      </w:r>
      <w:hyperlink w:history="0" w:anchor="P121" w:tooltip="В случае если востребованность вторичного сырья, полученного из отходов от использования товаров, для использования при производстве товаров (продукции) не подтверждается простым большинством опрошенных юридических лиц и индивидуальных предпринимателей, осуществляющих утилизацию отходов от использования товаров, до 1 января 2025 г. применяется значение Кпотр. = 0,25.">
        <w:r>
          <w:rPr>
            <w:sz w:val="20"/>
            <w:color w:val="0000ff"/>
          </w:rPr>
          <w:t xml:space="preserve">абзаце шестнадцатом</w:t>
        </w:r>
      </w:hyperlink>
      <w:r>
        <w:rPr>
          <w:sz w:val="20"/>
        </w:rPr>
        <w:t xml:space="preserve"> настоящего пункта.</w:t>
      </w:r>
    </w:p>
    <w:bookmarkStart w:id="121" w:name="P121"/>
    <w:bookmarkEnd w:id="121"/>
    <w:p>
      <w:pPr>
        <w:pStyle w:val="0"/>
        <w:spacing w:before="200" w:line-rule="auto"/>
        <w:ind w:firstLine="540"/>
        <w:jc w:val="both"/>
      </w:pPr>
      <w:r>
        <w:rPr>
          <w:sz w:val="20"/>
        </w:rPr>
        <w:t xml:space="preserve">В случае если востребованность вторичного сырья, полученного из отходов от использования товаров, для использования при производстве товаров (продукции) не подтверждается простым большинством опрошенных юридических лиц и индивидуальных предпринимателей, осуществляющих утилизацию отходов от использования товаров, до 1 января 2025 г. применяется значение К</w:t>
      </w:r>
      <w:r>
        <w:rPr>
          <w:sz w:val="20"/>
          <w:vertAlign w:val="subscript"/>
        </w:rPr>
        <w:t xml:space="preserve">потр.</w:t>
      </w:r>
      <w:r>
        <w:rPr>
          <w:sz w:val="20"/>
        </w:rPr>
        <w:t xml:space="preserve"> = 0,25.</w:t>
      </w:r>
    </w:p>
    <w:p>
      <w:pPr>
        <w:pStyle w:val="0"/>
        <w:spacing w:before="200" w:line-rule="auto"/>
        <w:ind w:firstLine="540"/>
        <w:jc w:val="both"/>
      </w:pPr>
      <w:r>
        <w:rPr>
          <w:sz w:val="20"/>
        </w:rPr>
        <w:t xml:space="preserve">С 1 января 2025 г. критерий (К</w:t>
      </w:r>
      <w:r>
        <w:rPr>
          <w:sz w:val="20"/>
          <w:vertAlign w:val="subscript"/>
        </w:rPr>
        <w:t xml:space="preserve">потр.</w:t>
      </w:r>
      <w:r>
        <w:rPr>
          <w:sz w:val="20"/>
        </w:rPr>
        <w:t xml:space="preserve">) определяется на основании сведений о массе товаров, упаковки, произведенных на территории Российской Федерации и (или) ввезенных из государств, не являющихся членами Евразийского экономического союза, или государств - членов Евразийского экономического союза, и массе использованных отходов от использования товаров и (или) вторичного сырья, полученного из отходов от использования товаров, для производства товаров (продукции) юридическими лицами и индивидуальными предпринимателями, осуществляющими утилизацию отходов от использования товаров, содержащихся в единой федеральной государственной информационной системе учета отходов от использования товаров.</w:t>
      </w:r>
    </w:p>
    <w:p>
      <w:pPr>
        <w:pStyle w:val="0"/>
        <w:spacing w:before="200" w:line-rule="auto"/>
        <w:ind w:firstLine="540"/>
        <w:jc w:val="both"/>
      </w:pPr>
      <w:r>
        <w:rPr>
          <w:sz w:val="20"/>
        </w:rPr>
        <w:t xml:space="preserve">Показатель востребованности вторичного сырья, выраженный в относительных единицах по каждой группе товаров, упаковки, включенных в перечень товаров, упаковки, отходы от использования которых подлежат утилизации, утверждаемый Правительством Российской Федерации в соответствии с </w:t>
      </w:r>
      <w:hyperlink w:history="0" r:id="rId2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 (N), определяется по формуле:</w:t>
      </w:r>
    </w:p>
    <w:p>
      <w:pPr>
        <w:pStyle w:val="0"/>
        <w:jc w:val="both"/>
      </w:pPr>
      <w:r>
        <w:rPr>
          <w:sz w:val="20"/>
        </w:rPr>
      </w:r>
    </w:p>
    <w:p>
      <w:pPr>
        <w:pStyle w:val="0"/>
        <w:jc w:val="center"/>
      </w:pPr>
      <w:r>
        <w:rPr>
          <w:position w:val="-8"/>
        </w:rPr>
        <w:drawing>
          <wp:inline distT="0" distB="0" distL="0" distR="0">
            <wp:extent cx="1676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w:t>
      </w:r>
      <w:r>
        <w:rPr>
          <w:sz w:val="20"/>
          <w:vertAlign w:val="subscript"/>
        </w:rPr>
        <w:t xml:space="preserve">товар</w:t>
      </w:r>
      <w:r>
        <w:rPr>
          <w:sz w:val="20"/>
        </w:rPr>
        <w:t xml:space="preserve"> - масса товаров, упаковки, произведенных на территории Российской Федерации и (или) ввезенных из государств, не являющихся членами Евразийского экономического союза, или государств - членов Евразийского экономического союза в отчетном году (тонн, округленных до первого десятичного знака после запятой в соответствии с математическими правилами округления);</w:t>
      </w:r>
    </w:p>
    <w:p>
      <w:pPr>
        <w:pStyle w:val="0"/>
        <w:spacing w:before="200" w:line-rule="auto"/>
        <w:ind w:firstLine="540"/>
        <w:jc w:val="both"/>
      </w:pPr>
      <w:r>
        <w:rPr>
          <w:sz w:val="20"/>
        </w:rPr>
        <w:t xml:space="preserve">Н</w:t>
      </w:r>
      <w:r>
        <w:rPr>
          <w:sz w:val="20"/>
          <w:vertAlign w:val="subscript"/>
        </w:rPr>
        <w:t xml:space="preserve">товар</w:t>
      </w:r>
      <w:r>
        <w:rPr>
          <w:sz w:val="20"/>
        </w:rPr>
        <w:t xml:space="preserve"> - установленный норматив утилизации отходов от использования товаров;</w:t>
      </w:r>
    </w:p>
    <w:p>
      <w:pPr>
        <w:pStyle w:val="0"/>
        <w:spacing w:before="200" w:line-rule="auto"/>
        <w:ind w:firstLine="540"/>
        <w:jc w:val="both"/>
      </w:pPr>
      <w:r>
        <w:rPr>
          <w:sz w:val="20"/>
        </w:rPr>
        <w:t xml:space="preserve">М</w:t>
      </w:r>
      <w:r>
        <w:rPr>
          <w:sz w:val="20"/>
          <w:vertAlign w:val="subscript"/>
        </w:rPr>
        <w:t xml:space="preserve">утил.</w:t>
      </w:r>
      <w:r>
        <w:rPr>
          <w:sz w:val="20"/>
        </w:rPr>
        <w:t xml:space="preserve"> - масса использованных отходов от использования товаров и (или) вторичного сырья, полученного из отходов от использования товаров, для производства товаров (продукции) юридическими лицами и индивидуальными предпринимателями, включенными в реестр юридических лиц и индивидуальных предпринимателей, осуществляющих утилизацию отходов от использования товаров в отчетном году (тонн, округленных до первого десятичного знака после запятой в соответствии с математическими правилами округления).</w:t>
      </w:r>
    </w:p>
    <w:p>
      <w:pPr>
        <w:pStyle w:val="0"/>
        <w:spacing w:before="200" w:line-rule="auto"/>
        <w:ind w:firstLine="540"/>
        <w:jc w:val="both"/>
      </w:pPr>
      <w:r>
        <w:rPr>
          <w:sz w:val="20"/>
        </w:rPr>
        <w:t xml:space="preserve">Значение К</w:t>
      </w:r>
      <w:r>
        <w:rPr>
          <w:sz w:val="20"/>
          <w:vertAlign w:val="subscript"/>
        </w:rPr>
        <w:t xml:space="preserve">потр.</w:t>
      </w:r>
      <w:r>
        <w:rPr>
          <w:sz w:val="20"/>
        </w:rPr>
        <w:t xml:space="preserve"> = 0 применяется с 1 января 2025 г., за исключением случаев, указанных в </w:t>
      </w:r>
      <w:hyperlink w:history="0" w:anchor="P132" w:tooltip="Значение Кпотр. = 0,5 применяется с 1 января по 31 декабря 2025 г. в случае, если значение N равно или больше 1.">
        <w:r>
          <w:rPr>
            <w:sz w:val="20"/>
            <w:color w:val="0000ff"/>
          </w:rPr>
          <w:t xml:space="preserve">абзацах двадцать пятом</w:t>
        </w:r>
      </w:hyperlink>
      <w:r>
        <w:rPr>
          <w:sz w:val="20"/>
        </w:rPr>
        <w:t xml:space="preserve"> и </w:t>
      </w:r>
      <w:hyperlink w:history="0" w:anchor="P133" w:tooltip="Значение Кпотр. = 1 применяется с 1 января 2026 г. в случае, если значение N равно или больше 1.">
        <w:r>
          <w:rPr>
            <w:sz w:val="20"/>
            <w:color w:val="0000ff"/>
          </w:rPr>
          <w:t xml:space="preserve">двадцать шестом</w:t>
        </w:r>
      </w:hyperlink>
      <w:r>
        <w:rPr>
          <w:sz w:val="20"/>
        </w:rPr>
        <w:t xml:space="preserve"> настоящего пункта.</w:t>
      </w:r>
    </w:p>
    <w:bookmarkStart w:id="132" w:name="P132"/>
    <w:bookmarkEnd w:id="132"/>
    <w:p>
      <w:pPr>
        <w:pStyle w:val="0"/>
        <w:spacing w:before="200" w:line-rule="auto"/>
        <w:ind w:firstLine="540"/>
        <w:jc w:val="both"/>
      </w:pPr>
      <w:r>
        <w:rPr>
          <w:sz w:val="20"/>
        </w:rPr>
        <w:t xml:space="preserve">Значение К</w:t>
      </w:r>
      <w:r>
        <w:rPr>
          <w:sz w:val="20"/>
          <w:vertAlign w:val="subscript"/>
        </w:rPr>
        <w:t xml:space="preserve">потр.</w:t>
      </w:r>
      <w:r>
        <w:rPr>
          <w:sz w:val="20"/>
        </w:rPr>
        <w:t xml:space="preserve"> = 0,5 применяется с 1 января по 31 декабря 2025 г. в случае, если значение N равно или больше 1.</w:t>
      </w:r>
    </w:p>
    <w:bookmarkStart w:id="133" w:name="P133"/>
    <w:bookmarkEnd w:id="133"/>
    <w:p>
      <w:pPr>
        <w:pStyle w:val="0"/>
        <w:spacing w:before="200" w:line-rule="auto"/>
        <w:ind w:firstLine="540"/>
        <w:jc w:val="both"/>
      </w:pPr>
      <w:r>
        <w:rPr>
          <w:sz w:val="20"/>
        </w:rPr>
        <w:t xml:space="preserve">Значение К</w:t>
      </w:r>
      <w:r>
        <w:rPr>
          <w:sz w:val="20"/>
          <w:vertAlign w:val="subscript"/>
        </w:rPr>
        <w:t xml:space="preserve">потр.</w:t>
      </w:r>
      <w:r>
        <w:rPr>
          <w:sz w:val="20"/>
        </w:rPr>
        <w:t xml:space="preserve"> = 1 применяется с 1 января 2026 г. в случае, если значение N равно или больше 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567" w:right="1440" w:bottom="1134"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29.12.2023 N 2392</w:t>
            <w:br/>
            <w:t>"Об утверждении методики расчета базовой ставки экологического сбора...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303&amp;dst=995" TargetMode = "External"/>
	<Relationship Id="rId8" Type="http://schemas.openxmlformats.org/officeDocument/2006/relationships/hyperlink" Target="https://login.consultant.ru/link/?req=doc&amp;base=LAW&amp;n=454303&amp;dst=854" TargetMode = "External"/>
	<Relationship Id="rId9" Type="http://schemas.openxmlformats.org/officeDocument/2006/relationships/image" Target="media/image2.wmf"/>
	<Relationship Id="rId10" Type="http://schemas.openxmlformats.org/officeDocument/2006/relationships/image" Target="media/image3.wmf"/>
	<Relationship Id="rId11" Type="http://schemas.openxmlformats.org/officeDocument/2006/relationships/image" Target="media/image4.wmf"/>
	<Relationship Id="rId12" Type="http://schemas.openxmlformats.org/officeDocument/2006/relationships/hyperlink" Target="https://login.consultant.ru/link/?req=doc&amp;base=LAW&amp;n=454388" TargetMode = "External"/>
	<Relationship Id="rId13" Type="http://schemas.openxmlformats.org/officeDocument/2006/relationships/hyperlink" Target="https://login.consultant.ru/link/?req=doc&amp;base=LAW&amp;n=431832&amp;dst=378" TargetMode = "External"/>
	<Relationship Id="rId14" Type="http://schemas.openxmlformats.org/officeDocument/2006/relationships/hyperlink" Target="https://login.consultant.ru/link/?req=doc&amp;base=LAW&amp;n=431832&amp;dst=378" TargetMode = "External"/>
	<Relationship Id="rId15" Type="http://schemas.openxmlformats.org/officeDocument/2006/relationships/image" Target="media/image5.wmf"/>
	<Relationship Id="rId16" Type="http://schemas.openxmlformats.org/officeDocument/2006/relationships/hyperlink" Target="https://login.consultant.ru/link/?req=doc&amp;base=LAW&amp;n=454388" TargetMode = "External"/>
	<Relationship Id="rId17" Type="http://schemas.openxmlformats.org/officeDocument/2006/relationships/hyperlink" Target="https://login.consultant.ru/link/?req=doc&amp;base=LAW&amp;n=431832&amp;dst=378" TargetMode = "External"/>
	<Relationship Id="rId18" Type="http://schemas.openxmlformats.org/officeDocument/2006/relationships/hyperlink" Target="https://login.consultant.ru/link/?req=doc&amp;base=LAW&amp;n=431832&amp;dst=378" TargetMode = "External"/>
	<Relationship Id="rId19" Type="http://schemas.openxmlformats.org/officeDocument/2006/relationships/hyperlink" Target="https://login.consultant.ru/link/?req=doc&amp;base=LAW&amp;n=454303&amp;dst=854" TargetMode = "External"/>
	<Relationship Id="rId20" Type="http://schemas.openxmlformats.org/officeDocument/2006/relationships/hyperlink" Target="https://login.consultant.ru/link/?req=doc&amp;base=LAW&amp;n=454303&amp;dst=854" TargetMode = "External"/>
	<Relationship Id="rId21" Type="http://schemas.openxmlformats.org/officeDocument/2006/relationships/image" Target="media/image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29.12.2023 N 2392
"Об утверждении методики расчета базовой ставки экологического сбора и применения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dc:title>
  <dcterms:created xsi:type="dcterms:W3CDTF">2024-02-19T11:12:38Z</dcterms:created>
</cp:coreProperties>
</file>